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6046F4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6046F4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C369F6" w:rsidRDefault="00C369F6" w:rsidP="00A3567D">
            <w:pPr>
              <w:ind w:right="255"/>
              <w:jc w:val="both"/>
              <w:rPr>
                <w:sz w:val="24"/>
                <w:szCs w:val="24"/>
              </w:rPr>
            </w:pP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C369F6" w:rsidRPr="009167D3" w:rsidRDefault="00C369F6" w:rsidP="009167D3">
            <w:pPr>
              <w:ind w:right="255"/>
              <w:jc w:val="both"/>
              <w:rPr>
                <w:sz w:val="24"/>
                <w:szCs w:val="24"/>
              </w:rPr>
            </w:pPr>
          </w:p>
          <w:p w:rsidR="009167D3" w:rsidRPr="009167D3" w:rsidRDefault="009167D3" w:rsidP="009167D3">
            <w:pPr>
              <w:numPr>
                <w:ilvl w:val="0"/>
                <w:numId w:val="7"/>
              </w:numPr>
              <w:tabs>
                <w:tab w:val="left" w:pos="1134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Дать согласие Генеральному директору Общества на заключение от имени Общества с Акционерным обществом «Холдинговая компания «Объединенные кондитеры» </w:t>
            </w:r>
            <w:r w:rsidRPr="009167D3">
              <w:rPr>
                <w:sz w:val="24"/>
                <w:szCs w:val="24"/>
              </w:rPr>
              <w:br/>
              <w:t>(далее – «Заемщик») следующих сделок: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1) Дополнительного соглашения № 1 к Договору займа от 30.08.2017 г. </w:t>
            </w:r>
          </w:p>
          <w:p w:rsidR="009167D3" w:rsidRPr="009167D3" w:rsidRDefault="009167D3" w:rsidP="009167D3">
            <w:pPr>
              <w:ind w:right="-8"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Согласно Договору займа от 30.08.2017 г. Общество обязалось предоставить в собственность Заемщика денежные средства в сумме 261 000 </w:t>
            </w:r>
            <w:proofErr w:type="spellStart"/>
            <w:r w:rsidRPr="009167D3">
              <w:rPr>
                <w:sz w:val="24"/>
                <w:szCs w:val="24"/>
              </w:rPr>
              <w:t>000</w:t>
            </w:r>
            <w:proofErr w:type="spellEnd"/>
            <w:r w:rsidRPr="009167D3">
              <w:rPr>
                <w:sz w:val="24"/>
                <w:szCs w:val="24"/>
              </w:rPr>
              <w:t xml:space="preserve"> (Двести шестьдесят один миллион) рублей (далее – «сумма займа», «заем») на срок  до 31 августа 2020 г. под 11,7 (Одиннадцать целых семь десятых) процента годовых на используемую сумму займа. 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pacing w:val="-1"/>
                <w:sz w:val="24"/>
                <w:szCs w:val="24"/>
              </w:rPr>
              <w:t xml:space="preserve">В соответствии с </w:t>
            </w:r>
            <w:r w:rsidRPr="009167D3">
              <w:rPr>
                <w:sz w:val="24"/>
                <w:szCs w:val="24"/>
              </w:rPr>
              <w:t xml:space="preserve">Дополнительным соглашением № 1 вносятся следующие изменения в Договор займа от 30.08.2017 г.: 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993" w:hanging="284"/>
              <w:jc w:val="both"/>
              <w:textAlignment w:val="baseline"/>
            </w:pPr>
            <w:r w:rsidRPr="009167D3">
              <w:t>изложить п. 2.6. в следующей редакции:</w:t>
            </w:r>
          </w:p>
          <w:p w:rsidR="009167D3" w:rsidRPr="009167D3" w:rsidRDefault="009167D3" w:rsidP="009167D3">
            <w:pPr>
              <w:pStyle w:val="a9"/>
              <w:ind w:firstLine="709"/>
              <w:jc w:val="both"/>
            </w:pPr>
            <w:proofErr w:type="gramStart"/>
            <w:r w:rsidRPr="009167D3">
              <w:t>«Проценты за пользование денежными средствами, предоставленными по настоящему Договору, уплачиваются в срок возврата, указанный в п. 2.4. настоящего Договора, и в размере, указанном в п.1.1 настоящего Договора за фактическое количество дней пользования денежными средствами, при этом год принимается равным 365 или 366 дням в соответствии с действительным числом календарных дней в году</w:t>
            </w:r>
            <w:bookmarkStart w:id="0" w:name="_GoBack"/>
            <w:bookmarkEnd w:id="0"/>
            <w:r w:rsidRPr="009167D3">
              <w:t>.</w:t>
            </w:r>
            <w:proofErr w:type="gramEnd"/>
            <w:r w:rsidRPr="009167D3">
              <w:t xml:space="preserve"> Частичный досрочный возврат суммы займа не влияет на срок уплаты процентов, определяемый в соответствии с настоящим пунктом. При полном досрочном возврате суммы займа проценты уплачиваются в дату такого возврата».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993" w:hanging="284"/>
              <w:jc w:val="both"/>
              <w:textAlignment w:val="baseline"/>
            </w:pPr>
            <w:proofErr w:type="gramStart"/>
            <w:r w:rsidRPr="009167D3">
              <w:t>и</w:t>
            </w:r>
            <w:proofErr w:type="gramEnd"/>
            <w:r w:rsidRPr="009167D3">
              <w:t>зложить  п. 3.3.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ind w:firstLine="426"/>
              <w:jc w:val="both"/>
            </w:pPr>
            <w:r w:rsidRPr="009167D3">
              <w:tab/>
              <w:t>«Заемщик вправе возвратить сумму Займа Займодавцу полностью или по частям досрочно в любое время без дополнительного согласования».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Дополнительное соглашение № 1 вступает в силу с момента его подписания сторонами  и распространяется на правоотношения с момента заключения Договора займа от 30.08.2017 г. 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2) Дополнительного соглашения № 2 к Договору займа от 20.09.2016 г. </w:t>
            </w:r>
          </w:p>
          <w:p w:rsidR="009167D3" w:rsidRPr="009167D3" w:rsidRDefault="009167D3" w:rsidP="009167D3">
            <w:pPr>
              <w:ind w:right="-8" w:firstLine="709"/>
              <w:jc w:val="both"/>
              <w:rPr>
                <w:sz w:val="24"/>
                <w:szCs w:val="24"/>
              </w:rPr>
            </w:pPr>
            <w:proofErr w:type="gramStart"/>
            <w:r w:rsidRPr="009167D3">
              <w:rPr>
                <w:sz w:val="24"/>
                <w:szCs w:val="24"/>
              </w:rPr>
              <w:t xml:space="preserve">Согласно Договору займа от 20.09.2016 г. (в ред. Дополнительного соглашения № 1 от </w:t>
            </w:r>
            <w:r w:rsidRPr="009167D3">
              <w:rPr>
                <w:sz w:val="24"/>
                <w:szCs w:val="24"/>
              </w:rPr>
              <w:lastRenderedPageBreak/>
              <w:t xml:space="preserve">07.08.2017 г.) Общество обязалось предоставить в собственность Заемщика денежные средства в сумме 984 100 000 (Девятьсот восемьдесят четыре миллиона сто тысяч) рублей (далее – «сумма займа», «заем») на срок  до 19 сентября 2019 г. под 11 (Одиннадцать) процентов годовых на используемую сумму займа. </w:t>
            </w:r>
            <w:proofErr w:type="gramEnd"/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pacing w:val="-1"/>
                <w:sz w:val="24"/>
                <w:szCs w:val="24"/>
              </w:rPr>
              <w:t xml:space="preserve">В соответствии с </w:t>
            </w:r>
            <w:r w:rsidRPr="009167D3">
              <w:rPr>
                <w:sz w:val="24"/>
                <w:szCs w:val="24"/>
              </w:rPr>
              <w:t xml:space="preserve">Дополнительным соглашением № 2 вносятся следующие изменения в Договор займа от 20.09.2016 г.: 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2.5. в следующей редакции:</w:t>
            </w:r>
          </w:p>
          <w:p w:rsidR="009167D3" w:rsidRPr="009167D3" w:rsidRDefault="009167D3" w:rsidP="009167D3">
            <w:pPr>
              <w:pStyle w:val="a9"/>
              <w:spacing w:line="0" w:lineRule="atLeast"/>
              <w:ind w:firstLine="709"/>
              <w:jc w:val="both"/>
            </w:pPr>
            <w:proofErr w:type="gramStart"/>
            <w:r w:rsidRPr="009167D3">
              <w:t>«Проценты за пользование денежными средствами, предоставленными по настоящему Договору, уплачиваются в срок возврата, указанный в п. 2.4. настоящего Договора, и в размере, указанном в п.1.1 настоящего Договора за фактическое количество дней пользования денежными средствами, при этом год принимается равным 365 или 366 дням в соответствии с действительным числом календарных дней в году.</w:t>
            </w:r>
            <w:proofErr w:type="gramEnd"/>
            <w:r w:rsidRPr="009167D3">
              <w:t xml:space="preserve"> Частичный досрочный возврат суммы займа не влияет на срок уплаты процентов, определяемый в соответствии с настоящим пунктом. При полном досрочном возврате суммы займа проценты уплачиваются в дату такого возврата»;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дополнить раздел 2 Договора займа пунктом 2.7.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 xml:space="preserve">«Проценты начисляются на сумму фактической </w:t>
            </w:r>
            <w:proofErr w:type="gramStart"/>
            <w:r w:rsidRPr="009167D3">
              <w:t>задолженности</w:t>
            </w:r>
            <w:proofErr w:type="gramEnd"/>
            <w:r w:rsidRPr="009167D3">
              <w:t xml:space="preserve"> по Договору начиная с даты, следующей за датой образования задолженности, и по дату полного погашения задолженности (включительно)»;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дополнить раздел 2 Договора займа пунктом 2.8. в следующей редакции:</w:t>
            </w:r>
          </w:p>
          <w:p w:rsidR="009167D3" w:rsidRPr="009167D3" w:rsidRDefault="009167D3" w:rsidP="009167D3">
            <w:pPr>
              <w:tabs>
                <w:tab w:val="num" w:pos="420"/>
                <w:tab w:val="num" w:pos="709"/>
              </w:tabs>
              <w:ind w:right="-8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ab/>
            </w:r>
            <w:r w:rsidRPr="009167D3">
              <w:rPr>
                <w:sz w:val="24"/>
                <w:szCs w:val="24"/>
              </w:rPr>
              <w:tab/>
              <w:t>«Заемщик имеет право производить досрочное частичное или полное погашение начисленных процентов по Договору в адрес Займодавца без дополнительного согласования».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3.3.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>«Заемщик вправе возвратить сумму Займа Займодавцу полностью или по частям досрочно в любое время без дополнительного согласования».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>Дополнительное соглашение № 2 вступает в силу с момента его подписания сторонами  и распространяется на правоотношения с момента заключения Договора займа от 20.09.2016 г.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ind w:firstLine="426"/>
              <w:jc w:val="both"/>
            </w:pP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3) Дополнительного соглашения № 4 к Договору займа от 07.06.2007 г. </w:t>
            </w:r>
          </w:p>
          <w:p w:rsidR="009167D3" w:rsidRPr="009167D3" w:rsidRDefault="009167D3" w:rsidP="009167D3">
            <w:pPr>
              <w:ind w:right="-8" w:firstLine="709"/>
              <w:jc w:val="both"/>
              <w:rPr>
                <w:sz w:val="24"/>
                <w:szCs w:val="24"/>
              </w:rPr>
            </w:pPr>
            <w:proofErr w:type="gramStart"/>
            <w:r w:rsidRPr="009167D3">
              <w:rPr>
                <w:sz w:val="24"/>
                <w:szCs w:val="24"/>
              </w:rPr>
              <w:t xml:space="preserve">Согласно Договору займа от 07.06.2007 г. (в ред. Дополнительного соглашения № 3 от 19.04.2016 г.) Общество обязалось предоставить в собственность Заемщика денежные средства в сумме 830 000 </w:t>
            </w:r>
            <w:proofErr w:type="spellStart"/>
            <w:r w:rsidRPr="009167D3">
              <w:rPr>
                <w:sz w:val="24"/>
                <w:szCs w:val="24"/>
              </w:rPr>
              <w:t>000</w:t>
            </w:r>
            <w:proofErr w:type="spellEnd"/>
            <w:r w:rsidRPr="009167D3">
              <w:rPr>
                <w:sz w:val="24"/>
                <w:szCs w:val="24"/>
              </w:rPr>
              <w:t xml:space="preserve"> (Восемьсот тридцать миллионов) рублей (далее – «сумма займа», «заем») на срок  до 15 апреля 2019 г. под 11 (Одиннадцать) процентов годовых на используемую сумму займа. </w:t>
            </w:r>
            <w:proofErr w:type="gramEnd"/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pacing w:val="-1"/>
                <w:sz w:val="24"/>
                <w:szCs w:val="24"/>
              </w:rPr>
              <w:t xml:space="preserve">В соответствии с </w:t>
            </w:r>
            <w:r w:rsidRPr="009167D3">
              <w:rPr>
                <w:sz w:val="24"/>
                <w:szCs w:val="24"/>
              </w:rPr>
              <w:t xml:space="preserve">Дополнительным соглашением № 4 вносятся следующие изменения в Договор займа от 07.06.2007 г.: 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3.2.2. в следующей редакции:</w:t>
            </w:r>
          </w:p>
          <w:p w:rsidR="009167D3" w:rsidRPr="009167D3" w:rsidRDefault="009167D3" w:rsidP="009167D3">
            <w:pPr>
              <w:pStyle w:val="a9"/>
              <w:spacing w:line="0" w:lineRule="atLeast"/>
              <w:ind w:firstLine="709"/>
              <w:jc w:val="both"/>
            </w:pPr>
            <w:proofErr w:type="gramStart"/>
            <w:r w:rsidRPr="009167D3">
              <w:t>«Проценты за пользование денежными средствами, предоставленными по настоящему Договору, уплачиваются в сроки, указанные в п. 2.3. настоящего Договора, и в размере, указанном в п.1.1 настоящего Договора за фактическое количество дней пользования денежными средствами, при этом год принимается равным 365 или 366 дням в соответствии с действительным числом календарных дней в году.</w:t>
            </w:r>
            <w:proofErr w:type="gramEnd"/>
            <w:r w:rsidRPr="009167D3">
              <w:t xml:space="preserve"> Частичный досрочный возврат суммы займа не влияет на срок уплаты процентов, определяемый в соответствии с настоящим пунктом. При полном досрочном возврате суммы займа проценты уплачиваются в дату такого возврата»;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3.3.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>«Заемщик вправе возвратить сумму Займа Займодавцу полностью или по частям досрочно в любое время без дополнительного согласования»;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дополнить раздел 3 Договора займа пунктом 3.4.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 xml:space="preserve">«Проценты начисляются на сумму фактической </w:t>
            </w:r>
            <w:proofErr w:type="gramStart"/>
            <w:r w:rsidRPr="009167D3">
              <w:t>задолженности</w:t>
            </w:r>
            <w:proofErr w:type="gramEnd"/>
            <w:r w:rsidRPr="009167D3">
              <w:t xml:space="preserve"> по Договору начиная с даты, следующей за датой образования задолженности, и по дату полного погашения задолженности (включительно)»;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дополнить раздел 3 Договора займа пунктом 3.5.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 xml:space="preserve">«Заемщик имеет право производить досрочное частичное или полное погашение </w:t>
            </w:r>
            <w:r w:rsidRPr="009167D3">
              <w:lastRenderedPageBreak/>
              <w:t>начисленных процентов по Договору в адрес Займодавца без дополнительного согласования».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>Дополнительное соглашение № 4 вступает в силу с момента его подписания сторонами  и распространяется на правоотношения с момента заключения Договора займа от 07.06.2007 г.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4) Дополнительного соглашения № 7 к Договору займа от 21.08.2008 г. </w:t>
            </w:r>
          </w:p>
          <w:p w:rsidR="009167D3" w:rsidRPr="009167D3" w:rsidRDefault="009167D3" w:rsidP="009167D3">
            <w:pPr>
              <w:ind w:right="-8"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 xml:space="preserve">Согласно Договору займа от 21.08.2008 г. (в ред. Дополнительного соглашения № 6 от 19.04.2016 г.) Общество обязалось предоставить Заемщику денежную сумму в размере </w:t>
            </w:r>
            <w:r w:rsidRPr="009167D3">
              <w:rPr>
                <w:sz w:val="24"/>
                <w:szCs w:val="24"/>
              </w:rPr>
              <w:br/>
              <w:t xml:space="preserve">505 000 </w:t>
            </w:r>
            <w:proofErr w:type="spellStart"/>
            <w:r w:rsidRPr="009167D3">
              <w:rPr>
                <w:sz w:val="24"/>
                <w:szCs w:val="24"/>
              </w:rPr>
              <w:t>000</w:t>
            </w:r>
            <w:proofErr w:type="spellEnd"/>
            <w:r w:rsidRPr="009167D3">
              <w:rPr>
                <w:sz w:val="24"/>
                <w:szCs w:val="24"/>
              </w:rPr>
              <w:t xml:space="preserve"> (Пятьсот пять миллионов) рублей (далее – «сумма займа», «заем») на срок  до 15 апреля 2019 г. под 11 (Одиннадцать) процентов годовых на используемую сумму займа. 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pacing w:val="-1"/>
                <w:sz w:val="24"/>
                <w:szCs w:val="24"/>
              </w:rPr>
              <w:t xml:space="preserve">В соответствии с </w:t>
            </w:r>
            <w:r w:rsidRPr="009167D3">
              <w:rPr>
                <w:sz w:val="24"/>
                <w:szCs w:val="24"/>
              </w:rPr>
              <w:t>Дополнительным соглашением № 7 вносятся следующие изменения в Договор займа от 21.08.2008 г.: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2.6. в следующей редакции:</w:t>
            </w:r>
          </w:p>
          <w:p w:rsidR="009167D3" w:rsidRPr="009167D3" w:rsidRDefault="009167D3" w:rsidP="009167D3">
            <w:pPr>
              <w:pStyle w:val="a9"/>
              <w:spacing w:line="0" w:lineRule="atLeast"/>
              <w:ind w:right="-8" w:firstLine="709"/>
              <w:jc w:val="both"/>
            </w:pPr>
            <w:proofErr w:type="gramStart"/>
            <w:r w:rsidRPr="009167D3">
              <w:t>«Проценты за пользование денежными средствами, предоставленными по настоящему Договору, уплачиваются в срок возврата, указанный в п. 2.2. настоящего Договора, и в размере, указанном в п.1.1 настоящего Договора за фактическое количество дней пользования денежными средствами, при этом год принимается равным 365 или 366 дням в соответствии с действительным числом календарных дней в году.</w:t>
            </w:r>
            <w:proofErr w:type="gramEnd"/>
            <w:r w:rsidRPr="009167D3">
              <w:t xml:space="preserve"> Частичный досрочный возврат суммы займа не влияет на срок уплаты процентов, определяемый в соответствии с настоящим пунктом. При полном досрочном возврате суммы займа проценты уплачиваются в дату такого возврата»;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дополнить раздел 2 Договора займа пунктом 2.7.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 xml:space="preserve">«Проценты начисляются на сумму фактической </w:t>
            </w:r>
            <w:proofErr w:type="gramStart"/>
            <w:r w:rsidRPr="009167D3">
              <w:t>задолженности</w:t>
            </w:r>
            <w:proofErr w:type="gramEnd"/>
            <w:r w:rsidRPr="009167D3">
              <w:t xml:space="preserve"> по Договору начиная с даты, следующей за датой образования задолженности, и по дату полного погашения задолженности (включительно)»;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3.3. в следующей редакции:</w:t>
            </w:r>
          </w:p>
          <w:p w:rsidR="009167D3" w:rsidRPr="009167D3" w:rsidRDefault="009167D3" w:rsidP="009167D3">
            <w:pPr>
              <w:pStyle w:val="a9"/>
              <w:tabs>
                <w:tab w:val="num" w:pos="0"/>
                <w:tab w:val="left" w:pos="426"/>
              </w:tabs>
              <w:spacing w:line="0" w:lineRule="atLeast"/>
              <w:ind w:firstLine="426"/>
              <w:jc w:val="both"/>
            </w:pPr>
            <w:r w:rsidRPr="009167D3">
              <w:tab/>
              <w:t>«Заемщик вправе возвратить сумму Займа Займодавцу полностью или по частям досрочно в любое время без дополнительного согласования»;</w:t>
            </w:r>
          </w:p>
          <w:p w:rsidR="009167D3" w:rsidRPr="009167D3" w:rsidRDefault="009167D3" w:rsidP="009167D3">
            <w:pPr>
              <w:pStyle w:val="a9"/>
              <w:numPr>
                <w:ilvl w:val="0"/>
                <w:numId w:val="1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ind w:left="993" w:hanging="284"/>
              <w:jc w:val="both"/>
              <w:textAlignment w:val="baseline"/>
            </w:pPr>
            <w:r w:rsidRPr="009167D3">
              <w:t>изложить п. 3.4. в следующей редакции:</w:t>
            </w:r>
          </w:p>
          <w:p w:rsidR="009167D3" w:rsidRPr="009167D3" w:rsidRDefault="009167D3" w:rsidP="009167D3">
            <w:pPr>
              <w:tabs>
                <w:tab w:val="num" w:pos="420"/>
                <w:tab w:val="num" w:pos="709"/>
              </w:tabs>
              <w:ind w:right="-8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ab/>
            </w:r>
            <w:r w:rsidRPr="009167D3">
              <w:rPr>
                <w:sz w:val="24"/>
                <w:szCs w:val="24"/>
              </w:rPr>
              <w:tab/>
              <w:t>«Заемщик имеет право производить досрочное частичное или полное погашение начисленных процентов по Договору в адрес Займодавца без дополнительного согласования».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>Дополнительное соглашение № 7 вступает в силу с момента его подписания сторонами  и распространяется на правоотношения с момента заключения Договора займа от 21.08.2008 г.</w:t>
            </w:r>
          </w:p>
          <w:p w:rsidR="009167D3" w:rsidRPr="009167D3" w:rsidRDefault="009167D3" w:rsidP="009167D3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9167D3" w:rsidRPr="009167D3" w:rsidRDefault="009167D3" w:rsidP="009167D3">
            <w:pPr>
              <w:shd w:val="clear" w:color="auto" w:fill="FFFFFF"/>
              <w:overflowPunct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9167D3">
              <w:rPr>
                <w:sz w:val="24"/>
                <w:szCs w:val="24"/>
              </w:rPr>
              <w:t>2. Поручить Генеральному директору Общества подписать все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2D67CF" w:rsidRPr="009167D3" w:rsidRDefault="002D67CF" w:rsidP="0075348F">
            <w:pPr>
              <w:ind w:right="255"/>
              <w:jc w:val="both"/>
              <w:rPr>
                <w:sz w:val="24"/>
                <w:szCs w:val="24"/>
              </w:rPr>
            </w:pPr>
          </w:p>
          <w:p w:rsidR="002D67CF" w:rsidRPr="002D67CF" w:rsidRDefault="002D67CF" w:rsidP="002D67CF">
            <w:pPr>
              <w:ind w:right="255"/>
              <w:jc w:val="both"/>
              <w:rPr>
                <w:sz w:val="24"/>
                <w:szCs w:val="24"/>
              </w:rPr>
            </w:pPr>
          </w:p>
          <w:p w:rsidR="00BD4A02" w:rsidRPr="00BD4A02" w:rsidRDefault="00BD4A02" w:rsidP="00C369F6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290986">
              <w:rPr>
                <w:sz w:val="24"/>
                <w:szCs w:val="24"/>
              </w:rPr>
              <w:t>02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290986">
              <w:rPr>
                <w:sz w:val="24"/>
                <w:szCs w:val="24"/>
              </w:rPr>
              <w:t>7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290986">
              <w:rPr>
                <w:sz w:val="24"/>
                <w:szCs w:val="24"/>
              </w:rPr>
              <w:t>02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290986">
              <w:rPr>
                <w:sz w:val="24"/>
                <w:szCs w:val="24"/>
              </w:rPr>
              <w:t>7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C6331" w:rsidRDefault="00290986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C6331" w:rsidRDefault="00290986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7C6331">
              <w:rPr>
                <w:sz w:val="24"/>
                <w:szCs w:val="24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41" w:rsidRDefault="00645341">
      <w:r>
        <w:separator/>
      </w:r>
    </w:p>
  </w:endnote>
  <w:endnote w:type="continuationSeparator" w:id="0">
    <w:p w:rsidR="00645341" w:rsidRDefault="0064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41" w:rsidRDefault="00645341">
      <w:r>
        <w:separator/>
      </w:r>
    </w:p>
  </w:footnote>
  <w:footnote w:type="continuationSeparator" w:id="0">
    <w:p w:rsidR="00645341" w:rsidRDefault="00645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8F" w:rsidRDefault="0075348F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3B"/>
    <w:multiLevelType w:val="hybridMultilevel"/>
    <w:tmpl w:val="5E9AA63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55D8"/>
    <w:multiLevelType w:val="hybridMultilevel"/>
    <w:tmpl w:val="0FCEA990"/>
    <w:lvl w:ilvl="0" w:tplc="FFFFFFFF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15A0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679F1"/>
    <w:rsid w:val="00271AC1"/>
    <w:rsid w:val="00287C13"/>
    <w:rsid w:val="00290986"/>
    <w:rsid w:val="002A3EC6"/>
    <w:rsid w:val="002C6587"/>
    <w:rsid w:val="002D67CF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046F4"/>
    <w:rsid w:val="00610E8D"/>
    <w:rsid w:val="00614C7F"/>
    <w:rsid w:val="00634144"/>
    <w:rsid w:val="00645341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25722"/>
    <w:rsid w:val="0073091D"/>
    <w:rsid w:val="00733430"/>
    <w:rsid w:val="00737BF3"/>
    <w:rsid w:val="0074369F"/>
    <w:rsid w:val="0075348F"/>
    <w:rsid w:val="007744C9"/>
    <w:rsid w:val="00776A2D"/>
    <w:rsid w:val="007816ED"/>
    <w:rsid w:val="007877B4"/>
    <w:rsid w:val="00797558"/>
    <w:rsid w:val="007B0AA1"/>
    <w:rsid w:val="007C633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167D3"/>
    <w:rsid w:val="00922AB0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01387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DF4DBE"/>
    <w:rsid w:val="00E23E8A"/>
    <w:rsid w:val="00E24C1B"/>
    <w:rsid w:val="00E272E2"/>
    <w:rsid w:val="00E82EC7"/>
    <w:rsid w:val="00E86CEF"/>
    <w:rsid w:val="00E962B0"/>
    <w:rsid w:val="00EC01DD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E00E47-25FB-4EBB-8084-4F4F16F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9741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8</cp:revision>
  <cp:lastPrinted>2015-10-19T08:07:00Z</cp:lastPrinted>
  <dcterms:created xsi:type="dcterms:W3CDTF">2018-06-27T07:30:00Z</dcterms:created>
  <dcterms:modified xsi:type="dcterms:W3CDTF">2018-07-02T09:22:00Z</dcterms:modified>
</cp:coreProperties>
</file>